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E0D" w:rsidRDefault="00701E0D" w:rsidP="00701E0D">
      <w:pPr>
        <w:pStyle w:val="Corpodetexto"/>
        <w:tabs>
          <w:tab w:val="left" w:pos="1134"/>
        </w:tabs>
        <w:spacing w:line="360" w:lineRule="auto"/>
        <w:jc w:val="center"/>
        <w:rPr>
          <w:b/>
          <w:i/>
          <w:color w:val="FF0000"/>
          <w:szCs w:val="28"/>
        </w:rPr>
      </w:pPr>
      <w:r>
        <w:rPr>
          <w:b/>
          <w:i/>
          <w:color w:val="FF0000"/>
          <w:szCs w:val="28"/>
        </w:rPr>
        <w:t xml:space="preserve">Sugestões para elaboração de </w:t>
      </w:r>
      <w:r>
        <w:rPr>
          <w:b/>
          <w:i/>
          <w:color w:val="FF0000"/>
          <w:szCs w:val="28"/>
        </w:rPr>
        <w:br/>
      </w:r>
      <w:r w:rsidRPr="00896399">
        <w:rPr>
          <w:b/>
          <w:i/>
          <w:color w:val="FF0000"/>
          <w:szCs w:val="28"/>
        </w:rPr>
        <w:t xml:space="preserve">Parecer </w:t>
      </w:r>
      <w:r>
        <w:rPr>
          <w:b/>
          <w:i/>
          <w:color w:val="FF0000"/>
          <w:szCs w:val="28"/>
        </w:rPr>
        <w:t>Técnico</w:t>
      </w:r>
    </w:p>
    <w:p w:rsidR="00701E0D" w:rsidRDefault="00701E0D" w:rsidP="00701E0D">
      <w:pPr>
        <w:pStyle w:val="Corpodetexto"/>
        <w:tabs>
          <w:tab w:val="left" w:pos="1134"/>
        </w:tabs>
        <w:rPr>
          <w:color w:val="FF0000"/>
          <w:sz w:val="22"/>
          <w:highlight w:val="lightGray"/>
        </w:rPr>
      </w:pPr>
    </w:p>
    <w:p w:rsidR="00701E0D" w:rsidRPr="005B36EE" w:rsidRDefault="00701E0D" w:rsidP="00701E0D">
      <w:pPr>
        <w:pStyle w:val="Corpodetexto"/>
        <w:tabs>
          <w:tab w:val="left" w:pos="1134"/>
        </w:tabs>
        <w:spacing w:after="120" w:line="360" w:lineRule="auto"/>
        <w:ind w:firstLine="851"/>
        <w:rPr>
          <w:i/>
          <w:color w:val="FF0000"/>
          <w:sz w:val="22"/>
        </w:rPr>
      </w:pPr>
      <w:r w:rsidRPr="005B36EE">
        <w:rPr>
          <w:i/>
          <w:color w:val="FF0000"/>
          <w:sz w:val="22"/>
        </w:rPr>
        <w:t xml:space="preserve">As informações </w:t>
      </w:r>
      <w:r>
        <w:rPr>
          <w:i/>
          <w:color w:val="FF0000"/>
          <w:sz w:val="22"/>
        </w:rPr>
        <w:t>destacadas</w:t>
      </w:r>
      <w:r w:rsidRPr="005B36EE">
        <w:rPr>
          <w:i/>
          <w:color w:val="FF0000"/>
          <w:sz w:val="22"/>
        </w:rPr>
        <w:t xml:space="preserve"> em </w:t>
      </w:r>
      <w:r>
        <w:rPr>
          <w:i/>
          <w:color w:val="FF0000"/>
          <w:sz w:val="22"/>
        </w:rPr>
        <w:t>vermelho (incluindo esta primeira página)</w:t>
      </w:r>
      <w:r w:rsidRPr="005B36EE">
        <w:rPr>
          <w:i/>
          <w:color w:val="FF0000"/>
          <w:sz w:val="22"/>
        </w:rPr>
        <w:t xml:space="preserve"> </w:t>
      </w:r>
      <w:r>
        <w:rPr>
          <w:i/>
          <w:color w:val="FF0000"/>
          <w:sz w:val="22"/>
        </w:rPr>
        <w:t>têm o objetivo de</w:t>
      </w:r>
      <w:r w:rsidRPr="005B36EE">
        <w:rPr>
          <w:i/>
          <w:color w:val="FF0000"/>
          <w:sz w:val="22"/>
        </w:rPr>
        <w:t xml:space="preserve"> orientar a elaboração do </w:t>
      </w:r>
      <w:r w:rsidRPr="00867404">
        <w:rPr>
          <w:i/>
          <w:color w:val="FF0000"/>
          <w:sz w:val="22"/>
        </w:rPr>
        <w:t xml:space="preserve">Parecer </w:t>
      </w:r>
      <w:r>
        <w:rPr>
          <w:i/>
          <w:color w:val="FF0000"/>
          <w:sz w:val="22"/>
        </w:rPr>
        <w:t>Técnico</w:t>
      </w:r>
      <w:r w:rsidRPr="005B36EE">
        <w:rPr>
          <w:i/>
          <w:color w:val="FF0000"/>
          <w:sz w:val="22"/>
        </w:rPr>
        <w:t xml:space="preserve"> e devem se</w:t>
      </w:r>
      <w:r>
        <w:rPr>
          <w:i/>
          <w:color w:val="FF0000"/>
          <w:sz w:val="22"/>
        </w:rPr>
        <w:t>r apagadas no documento final a ser entregue à Secretaria do Tesouro Nacional (STN).</w:t>
      </w:r>
    </w:p>
    <w:p w:rsidR="00701E0D" w:rsidRDefault="00701E0D" w:rsidP="00701E0D">
      <w:pPr>
        <w:pStyle w:val="Corpodetexto"/>
        <w:tabs>
          <w:tab w:val="left" w:pos="1134"/>
        </w:tabs>
        <w:spacing w:after="120" w:line="360" w:lineRule="auto"/>
        <w:ind w:firstLine="851"/>
        <w:rPr>
          <w:i/>
          <w:color w:val="FF0000"/>
          <w:sz w:val="22"/>
        </w:rPr>
      </w:pPr>
      <w:r w:rsidRPr="00F72204">
        <w:rPr>
          <w:i/>
          <w:color w:val="FF0000"/>
          <w:sz w:val="22"/>
        </w:rPr>
        <w:t xml:space="preserve">O </w:t>
      </w:r>
      <w:r>
        <w:rPr>
          <w:i/>
          <w:color w:val="FF0000"/>
          <w:sz w:val="22"/>
        </w:rPr>
        <w:t>P</w:t>
      </w:r>
      <w:r w:rsidRPr="00F72204">
        <w:rPr>
          <w:i/>
          <w:color w:val="FF0000"/>
          <w:sz w:val="22"/>
        </w:rPr>
        <w:t xml:space="preserve">arecer </w:t>
      </w:r>
      <w:r>
        <w:rPr>
          <w:i/>
          <w:color w:val="FF0000"/>
          <w:sz w:val="22"/>
        </w:rPr>
        <w:t>T</w:t>
      </w:r>
      <w:r w:rsidRPr="00F72204">
        <w:rPr>
          <w:i/>
          <w:color w:val="FF0000"/>
          <w:sz w:val="22"/>
        </w:rPr>
        <w:t>écnico, cuja elaboração é obrigatória para a contratação de qualquer tipo de</w:t>
      </w:r>
      <w:r>
        <w:rPr>
          <w:i/>
          <w:color w:val="FF0000"/>
          <w:sz w:val="22"/>
        </w:rPr>
        <w:t xml:space="preserve"> </w:t>
      </w:r>
      <w:r w:rsidRPr="00F72204">
        <w:rPr>
          <w:i/>
          <w:color w:val="FF0000"/>
          <w:sz w:val="22"/>
        </w:rPr>
        <w:t xml:space="preserve">operação de crédito, por força </w:t>
      </w:r>
      <w:r>
        <w:rPr>
          <w:i/>
          <w:color w:val="FF0000"/>
          <w:sz w:val="22"/>
        </w:rPr>
        <w:t>d</w:t>
      </w:r>
      <w:r w:rsidRPr="00A245A3">
        <w:rPr>
          <w:i/>
          <w:color w:val="FF0000"/>
          <w:sz w:val="22"/>
        </w:rPr>
        <w:t>o disposto no inciso I, do art. 21, da Resolução do Senado Federal nº 43/2001, e do disposto no § 1º, do art. 32, da Lei Complementar 101/2000</w:t>
      </w:r>
      <w:r w:rsidRPr="00F72204">
        <w:rPr>
          <w:i/>
          <w:color w:val="FF0000"/>
          <w:sz w:val="22"/>
        </w:rPr>
        <w:t>, de</w:t>
      </w:r>
      <w:r>
        <w:rPr>
          <w:i/>
          <w:color w:val="FF0000"/>
          <w:sz w:val="22"/>
        </w:rPr>
        <w:t xml:space="preserve"> </w:t>
      </w:r>
      <w:r w:rsidRPr="00F72204">
        <w:rPr>
          <w:i/>
          <w:color w:val="FF0000"/>
          <w:sz w:val="22"/>
        </w:rPr>
        <w:t>forma geral, tem o propósito de apresentar as justificativas para a contratação da operação</w:t>
      </w:r>
      <w:r>
        <w:rPr>
          <w:i/>
          <w:color w:val="FF0000"/>
          <w:sz w:val="22"/>
        </w:rPr>
        <w:t xml:space="preserve"> </w:t>
      </w:r>
      <w:r w:rsidRPr="00F72204">
        <w:rPr>
          <w:i/>
          <w:color w:val="FF0000"/>
          <w:sz w:val="22"/>
        </w:rPr>
        <w:t>pretendida</w:t>
      </w:r>
      <w:r>
        <w:rPr>
          <w:i/>
          <w:color w:val="FF0000"/>
          <w:sz w:val="22"/>
        </w:rPr>
        <w:t>.</w:t>
      </w:r>
    </w:p>
    <w:p w:rsidR="00701E0D" w:rsidRDefault="00701E0D" w:rsidP="00701E0D">
      <w:pPr>
        <w:pStyle w:val="Corpodetexto"/>
        <w:tabs>
          <w:tab w:val="left" w:pos="1134"/>
        </w:tabs>
        <w:spacing w:after="120" w:line="360" w:lineRule="auto"/>
        <w:ind w:firstLine="851"/>
        <w:rPr>
          <w:i/>
          <w:color w:val="FF0000"/>
          <w:sz w:val="22"/>
        </w:rPr>
      </w:pPr>
      <w:r w:rsidRPr="00F72204">
        <w:rPr>
          <w:i/>
          <w:color w:val="FF0000"/>
          <w:sz w:val="22"/>
        </w:rPr>
        <w:t xml:space="preserve">O parecer deverá ser assinado </w:t>
      </w:r>
      <w:r>
        <w:rPr>
          <w:i/>
          <w:color w:val="FF0000"/>
          <w:sz w:val="22"/>
        </w:rPr>
        <w:t>pelo representante do Órgão Técnico</w:t>
      </w:r>
      <w:r w:rsidRPr="00F72204">
        <w:rPr>
          <w:i/>
          <w:color w:val="FF0000"/>
          <w:sz w:val="22"/>
        </w:rPr>
        <w:t>, devidamente identificado,</w:t>
      </w:r>
      <w:r>
        <w:rPr>
          <w:i/>
          <w:color w:val="FF0000"/>
          <w:sz w:val="22"/>
        </w:rPr>
        <w:t xml:space="preserve"> </w:t>
      </w:r>
      <w:r w:rsidRPr="00F72204">
        <w:rPr>
          <w:i/>
          <w:color w:val="FF0000"/>
          <w:sz w:val="22"/>
        </w:rPr>
        <w:t>e conter o “de acordo” do Chefe do Poder Executivo.</w:t>
      </w:r>
    </w:p>
    <w:p w:rsidR="00701E0D" w:rsidRPr="00896399" w:rsidRDefault="00701E0D" w:rsidP="00701E0D">
      <w:pPr>
        <w:pStyle w:val="Corpodetexto"/>
        <w:tabs>
          <w:tab w:val="left" w:pos="1134"/>
        </w:tabs>
        <w:spacing w:after="120" w:line="360" w:lineRule="auto"/>
        <w:ind w:firstLine="851"/>
        <w:rPr>
          <w:i/>
          <w:color w:val="FF0000"/>
          <w:sz w:val="22"/>
        </w:rPr>
      </w:pPr>
      <w:r w:rsidRPr="00896399">
        <w:rPr>
          <w:i/>
          <w:color w:val="FF0000"/>
          <w:sz w:val="22"/>
        </w:rPr>
        <w:t xml:space="preserve">O parecer deverá apresentar a estrutura mínima </w:t>
      </w:r>
      <w:r>
        <w:rPr>
          <w:i/>
          <w:color w:val="FF0000"/>
          <w:sz w:val="22"/>
        </w:rPr>
        <w:t>a seguir</w:t>
      </w:r>
      <w:r w:rsidRPr="00896399">
        <w:rPr>
          <w:i/>
          <w:color w:val="FF0000"/>
          <w:sz w:val="22"/>
        </w:rPr>
        <w:t>, objetivando conferir o devido amparo ao processo de avaliação do Ministério da Fazenda, bem como segurança e celeridade das análises.</w:t>
      </w:r>
    </w:p>
    <w:p w:rsidR="00701E0D" w:rsidRPr="00896399" w:rsidRDefault="00701E0D" w:rsidP="00701E0D">
      <w:pPr>
        <w:pStyle w:val="Corpodetexto"/>
        <w:tabs>
          <w:tab w:val="left" w:pos="1134"/>
        </w:tabs>
        <w:spacing w:after="120" w:line="360" w:lineRule="auto"/>
        <w:ind w:firstLine="851"/>
        <w:rPr>
          <w:i/>
          <w:color w:val="FF0000"/>
          <w:sz w:val="22"/>
        </w:rPr>
      </w:pPr>
      <w:r w:rsidRPr="00896399">
        <w:rPr>
          <w:i/>
          <w:color w:val="FF0000"/>
          <w:sz w:val="22"/>
        </w:rPr>
        <w:t xml:space="preserve">Sugere-se a inclusão </w:t>
      </w:r>
      <w:r>
        <w:rPr>
          <w:i/>
          <w:color w:val="FF0000"/>
          <w:sz w:val="22"/>
        </w:rPr>
        <w:t>dos itens</w:t>
      </w:r>
      <w:r w:rsidRPr="00896399">
        <w:rPr>
          <w:i/>
          <w:color w:val="FF0000"/>
          <w:sz w:val="22"/>
        </w:rPr>
        <w:t xml:space="preserve"> indicad</w:t>
      </w:r>
      <w:r>
        <w:rPr>
          <w:i/>
          <w:color w:val="FF0000"/>
          <w:sz w:val="22"/>
        </w:rPr>
        <w:t>os</w:t>
      </w:r>
      <w:r w:rsidRPr="00896399">
        <w:rPr>
          <w:i/>
          <w:color w:val="FF0000"/>
          <w:sz w:val="22"/>
        </w:rPr>
        <w:t xml:space="preserve"> </w:t>
      </w:r>
      <w:r>
        <w:rPr>
          <w:i/>
          <w:color w:val="FF0000"/>
          <w:sz w:val="22"/>
        </w:rPr>
        <w:t>n</w:t>
      </w:r>
      <w:r w:rsidRPr="00896399">
        <w:rPr>
          <w:i/>
          <w:color w:val="FF0000"/>
          <w:sz w:val="22"/>
        </w:rPr>
        <w:t xml:space="preserve">a estrutura do </w:t>
      </w:r>
      <w:r>
        <w:rPr>
          <w:i/>
          <w:color w:val="FF0000"/>
          <w:sz w:val="22"/>
        </w:rPr>
        <w:t>P</w:t>
      </w:r>
      <w:r w:rsidRPr="00896399">
        <w:rPr>
          <w:i/>
          <w:color w:val="FF0000"/>
          <w:sz w:val="22"/>
        </w:rPr>
        <w:t xml:space="preserve">arecer, de forma que não surjam dúvidas quanto à abrangência ou conteúdo da opinião </w:t>
      </w:r>
      <w:r>
        <w:rPr>
          <w:i/>
          <w:color w:val="FF0000"/>
          <w:sz w:val="22"/>
        </w:rPr>
        <w:t>técnica</w:t>
      </w:r>
      <w:r w:rsidRPr="00896399">
        <w:rPr>
          <w:i/>
          <w:color w:val="FF0000"/>
          <w:sz w:val="22"/>
        </w:rPr>
        <w:t>, circunstância que poderia acarretar análises adicionais ou pedidos de informaç</w:t>
      </w:r>
      <w:r>
        <w:rPr>
          <w:i/>
          <w:color w:val="FF0000"/>
          <w:sz w:val="22"/>
        </w:rPr>
        <w:t>ões</w:t>
      </w:r>
      <w:r w:rsidRPr="00896399">
        <w:rPr>
          <w:i/>
          <w:color w:val="FF0000"/>
          <w:sz w:val="22"/>
        </w:rPr>
        <w:t xml:space="preserve"> complementares, que significam necessariamente atrasos no andamento do processo e ineficiência para o conjunto das operações em análise.</w:t>
      </w:r>
    </w:p>
    <w:p w:rsidR="00701E0D" w:rsidRDefault="00701E0D" w:rsidP="00701E0D">
      <w:pPr>
        <w:spacing w:after="20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br w:type="page"/>
      </w:r>
      <w:bookmarkStart w:id="0" w:name="_Toc339039681"/>
      <w:bookmarkStart w:id="1" w:name="_Toc339302046"/>
      <w:bookmarkStart w:id="2" w:name="_Toc341440266"/>
      <w:r>
        <w:rPr>
          <w:rFonts w:ascii="Arial" w:hAnsi="Arial" w:cs="Arial"/>
          <w:b/>
          <w:sz w:val="28"/>
          <w:szCs w:val="28"/>
        </w:rPr>
        <w:lastRenderedPageBreak/>
        <w:t>Sugestão</w:t>
      </w:r>
      <w:r w:rsidRPr="00024D80">
        <w:rPr>
          <w:rFonts w:ascii="Arial" w:hAnsi="Arial" w:cs="Arial"/>
          <w:b/>
          <w:sz w:val="28"/>
          <w:szCs w:val="28"/>
        </w:rPr>
        <w:t xml:space="preserve"> de Estrutura do Parecer do Órgão </w:t>
      </w:r>
      <w:r>
        <w:rPr>
          <w:rFonts w:ascii="Arial" w:hAnsi="Arial" w:cs="Arial"/>
          <w:b/>
          <w:sz w:val="28"/>
          <w:szCs w:val="28"/>
        </w:rPr>
        <w:t>Técnico</w:t>
      </w:r>
      <w:bookmarkEnd w:id="0"/>
      <w:bookmarkEnd w:id="1"/>
      <w:bookmarkEnd w:id="2"/>
    </w:p>
    <w:p w:rsidR="00701E0D" w:rsidRPr="00024D80" w:rsidRDefault="00701E0D" w:rsidP="00701E0D">
      <w:pPr>
        <w:spacing w:after="20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701E0D" w:rsidRPr="00111C7E" w:rsidRDefault="00701E0D" w:rsidP="00701E0D">
      <w:pPr>
        <w:keepNext/>
        <w:spacing w:before="240"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11C7E">
        <w:rPr>
          <w:rFonts w:ascii="Arial" w:hAnsi="Arial" w:cs="Arial"/>
          <w:b/>
          <w:sz w:val="22"/>
          <w:szCs w:val="22"/>
        </w:rPr>
        <w:t>Identificação precisa da operação de crédito objeto de avaliação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111C7E">
        <w:rPr>
          <w:rFonts w:ascii="Arial" w:hAnsi="Arial" w:cs="Arial"/>
          <w:i/>
          <w:iCs/>
          <w:sz w:val="22"/>
          <w:szCs w:val="22"/>
        </w:rPr>
        <w:t>“</w:t>
      </w:r>
      <w:r>
        <w:rPr>
          <w:rFonts w:ascii="Arial" w:hAnsi="Arial" w:cs="Arial"/>
          <w:i/>
          <w:iCs/>
          <w:sz w:val="22"/>
          <w:szCs w:val="22"/>
        </w:rPr>
        <w:t>Em atendimento ao</w:t>
      </w:r>
      <w:r w:rsidRPr="00152D6E">
        <w:rPr>
          <w:rFonts w:ascii="Arial" w:hAnsi="Arial" w:cs="Arial"/>
          <w:i/>
          <w:iCs/>
          <w:sz w:val="22"/>
          <w:szCs w:val="22"/>
        </w:rPr>
        <w:t xml:space="preserve"> disposto no inciso I, do art. 21, da Resolução do Senado Federal nº 43/2001, </w:t>
      </w:r>
      <w:r>
        <w:rPr>
          <w:rFonts w:ascii="Arial" w:hAnsi="Arial" w:cs="Arial"/>
          <w:i/>
          <w:iCs/>
          <w:sz w:val="22"/>
          <w:szCs w:val="22"/>
        </w:rPr>
        <w:t xml:space="preserve">e ao disposto no </w:t>
      </w:r>
      <w:r w:rsidRPr="00152D6E">
        <w:rPr>
          <w:rFonts w:ascii="Arial" w:hAnsi="Arial" w:cs="Arial"/>
          <w:i/>
          <w:iCs/>
          <w:sz w:val="22"/>
          <w:szCs w:val="22"/>
        </w:rPr>
        <w:t xml:space="preserve">§ 1º, </w:t>
      </w:r>
      <w:r>
        <w:rPr>
          <w:rFonts w:ascii="Arial" w:hAnsi="Arial" w:cs="Arial"/>
          <w:i/>
          <w:iCs/>
          <w:sz w:val="22"/>
          <w:szCs w:val="22"/>
        </w:rPr>
        <w:t xml:space="preserve">do </w:t>
      </w:r>
      <w:r w:rsidRPr="00152D6E">
        <w:rPr>
          <w:rFonts w:ascii="Arial" w:hAnsi="Arial" w:cs="Arial"/>
          <w:i/>
          <w:iCs/>
          <w:sz w:val="22"/>
          <w:szCs w:val="22"/>
        </w:rPr>
        <w:t>art. 32, da Lei Complementar 101/2000</w:t>
      </w:r>
      <w:r>
        <w:rPr>
          <w:rFonts w:ascii="Arial" w:hAnsi="Arial" w:cs="Arial"/>
          <w:i/>
          <w:iCs/>
          <w:sz w:val="22"/>
          <w:szCs w:val="22"/>
        </w:rPr>
        <w:t>, t</w:t>
      </w:r>
      <w:r w:rsidRPr="00111C7E">
        <w:rPr>
          <w:rFonts w:ascii="Arial" w:hAnsi="Arial" w:cs="Arial"/>
          <w:i/>
          <w:iCs/>
          <w:sz w:val="22"/>
          <w:szCs w:val="22"/>
        </w:rPr>
        <w:t>rata</w:t>
      </w:r>
      <w:r>
        <w:rPr>
          <w:rFonts w:ascii="Arial" w:hAnsi="Arial" w:cs="Arial"/>
          <w:i/>
          <w:iCs/>
          <w:sz w:val="22"/>
          <w:szCs w:val="22"/>
        </w:rPr>
        <w:t xml:space="preserve"> o presente</w:t>
      </w:r>
      <w:r w:rsidRPr="00111C7E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Parecer de</w:t>
      </w:r>
      <w:r w:rsidRPr="00111C7E">
        <w:rPr>
          <w:rFonts w:ascii="Arial" w:hAnsi="Arial" w:cs="Arial"/>
          <w:i/>
          <w:iCs/>
          <w:sz w:val="22"/>
          <w:szCs w:val="22"/>
        </w:rPr>
        <w:t xml:space="preserve"> contratação, pelo Município/Estado (...</w:t>
      </w:r>
      <w:r>
        <w:rPr>
          <w:rFonts w:ascii="Arial" w:hAnsi="Arial" w:cs="Arial"/>
          <w:i/>
          <w:iCs/>
          <w:sz w:val="22"/>
          <w:szCs w:val="22"/>
        </w:rPr>
        <w:t>,</w:t>
      </w:r>
      <w:r w:rsidRPr="00111C7E">
        <w:rPr>
          <w:rFonts w:ascii="Arial" w:hAnsi="Arial" w:cs="Arial"/>
          <w:i/>
          <w:iCs/>
          <w:sz w:val="22"/>
          <w:szCs w:val="22"/>
        </w:rPr>
        <w:t>) de operação de crédito, no valor de (...) junto ao</w:t>
      </w:r>
      <w:r>
        <w:rPr>
          <w:rFonts w:ascii="Arial" w:hAnsi="Arial" w:cs="Arial"/>
          <w:i/>
          <w:iCs/>
          <w:sz w:val="22"/>
          <w:szCs w:val="22"/>
        </w:rPr>
        <w:t xml:space="preserve"> banco (...), destinada ao (à) (...).</w:t>
      </w:r>
      <w:r w:rsidRPr="00111C7E">
        <w:rPr>
          <w:rFonts w:ascii="Arial" w:hAnsi="Arial" w:cs="Arial"/>
          <w:i/>
          <w:iCs/>
          <w:sz w:val="22"/>
          <w:szCs w:val="22"/>
        </w:rPr>
        <w:t>”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</w:p>
    <w:p w:rsidR="00701E0D" w:rsidRPr="00A245A3" w:rsidRDefault="00701E0D" w:rsidP="00701E0D">
      <w:pPr>
        <w:spacing w:after="12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A245A3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RELAÇÃO CUSTO-BENEFÍCIO</w:t>
      </w:r>
    </w:p>
    <w:p w:rsidR="00701E0D" w:rsidRPr="00F72204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F72204">
        <w:rPr>
          <w:rFonts w:ascii="Arial" w:hAnsi="Arial" w:cs="Arial"/>
          <w:i/>
          <w:iCs/>
          <w:color w:val="FF0000"/>
          <w:sz w:val="22"/>
          <w:szCs w:val="22"/>
        </w:rPr>
        <w:t xml:space="preserve">Neste item, o parecer pode estimar os impactos financeiros da operação, fazendo uma comparação entre os custos e os benefícios a serem auferidos </w:t>
      </w:r>
      <w:r>
        <w:rPr>
          <w:rFonts w:ascii="Arial" w:hAnsi="Arial" w:cs="Arial"/>
          <w:i/>
          <w:iCs/>
          <w:color w:val="FF0000"/>
          <w:sz w:val="22"/>
          <w:szCs w:val="22"/>
        </w:rPr>
        <w:t>com os recursos do empréstimo. É</w:t>
      </w:r>
      <w:r w:rsidRPr="00F72204">
        <w:rPr>
          <w:rFonts w:ascii="Arial" w:hAnsi="Arial" w:cs="Arial"/>
          <w:i/>
          <w:iCs/>
          <w:color w:val="FF0000"/>
          <w:sz w:val="22"/>
          <w:szCs w:val="22"/>
        </w:rPr>
        <w:t xml:space="preserve"> fundamental que se evidenciem os principais itens de custos do projeto, informando o custo unitário e o custo total.</w:t>
      </w:r>
    </w:p>
    <w:p w:rsidR="00701E0D" w:rsidRPr="00F72204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F72204">
        <w:rPr>
          <w:rFonts w:ascii="Arial" w:hAnsi="Arial" w:cs="Arial"/>
          <w:i/>
          <w:iCs/>
          <w:color w:val="FF0000"/>
          <w:sz w:val="22"/>
          <w:szCs w:val="22"/>
        </w:rPr>
        <w:t>Por exemplo: custo de pavimentação, custo de treinamento, custo de aquisição de máquinas e equipamentos.</w:t>
      </w:r>
    </w:p>
    <w:p w:rsidR="00701E0D" w:rsidRPr="00F72204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F72204">
        <w:rPr>
          <w:rFonts w:ascii="Arial" w:hAnsi="Arial" w:cs="Arial"/>
          <w:i/>
          <w:iCs/>
          <w:color w:val="FF0000"/>
          <w:sz w:val="22"/>
          <w:szCs w:val="22"/>
        </w:rPr>
        <w:t>Complementarmente, pode-se traçar uma estimativa do retorno esperado dos investimentos em cada exercício, tomando-se como base o exercício corrente.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F72204">
        <w:rPr>
          <w:rFonts w:ascii="Arial" w:hAnsi="Arial" w:cs="Arial"/>
          <w:i/>
          <w:iCs/>
          <w:color w:val="FF0000"/>
          <w:sz w:val="22"/>
          <w:szCs w:val="22"/>
        </w:rPr>
        <w:t>Para demonstrar a relação custo-benefício, pode ser considerada a utilização de tabelas e demonstrativos ou descrever no texto os números ou percentuais verificados (ou esperados, a título de aumento de arrecadação, por exemplo) comprovando que os benefícios superam os custos da operação, mediante o uso de metodologia própria para apuração.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</w:p>
    <w:p w:rsidR="00701E0D" w:rsidRPr="000C0CAB" w:rsidRDefault="00701E0D" w:rsidP="00701E0D">
      <w:pPr>
        <w:spacing w:after="120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0C0CAB">
        <w:rPr>
          <w:rFonts w:ascii="Arial" w:hAnsi="Arial" w:cs="Arial"/>
          <w:b/>
          <w:i/>
          <w:iCs/>
          <w:color w:val="FF0000"/>
          <w:sz w:val="22"/>
          <w:szCs w:val="22"/>
        </w:rPr>
        <w:t>Benefícios não mensuráveis financeiramente</w:t>
      </w:r>
    </w:p>
    <w:p w:rsidR="00701E0D" w:rsidRPr="000C0CAB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0C0CAB">
        <w:rPr>
          <w:rFonts w:ascii="Arial" w:hAnsi="Arial" w:cs="Arial"/>
          <w:i/>
          <w:iCs/>
          <w:color w:val="FF0000"/>
          <w:sz w:val="22"/>
          <w:szCs w:val="22"/>
        </w:rPr>
        <w:t xml:space="preserve">Na hipótese de o Ente entender inviável a mensuração </w:t>
      </w:r>
      <w:r>
        <w:rPr>
          <w:rFonts w:ascii="Arial" w:hAnsi="Arial" w:cs="Arial"/>
          <w:i/>
          <w:iCs/>
          <w:color w:val="FF0000"/>
          <w:sz w:val="22"/>
          <w:szCs w:val="22"/>
        </w:rPr>
        <w:t xml:space="preserve">financeira </w:t>
      </w:r>
      <w:r w:rsidRPr="000C0CAB">
        <w:rPr>
          <w:rFonts w:ascii="Arial" w:hAnsi="Arial" w:cs="Arial"/>
          <w:i/>
          <w:iCs/>
          <w:color w:val="FF0000"/>
          <w:sz w:val="22"/>
          <w:szCs w:val="22"/>
        </w:rPr>
        <w:t>dos benefícios resultantes da operação de crédito, sugere-se a seguinte declaração: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C54AC6">
        <w:rPr>
          <w:rFonts w:ascii="Arial" w:hAnsi="Arial" w:cs="Arial"/>
          <w:i/>
          <w:iCs/>
          <w:sz w:val="22"/>
          <w:szCs w:val="22"/>
        </w:rPr>
        <w:t>Tendo em vis</w:t>
      </w:r>
      <w:r>
        <w:rPr>
          <w:rFonts w:ascii="Arial" w:hAnsi="Arial" w:cs="Arial"/>
          <w:i/>
          <w:iCs/>
          <w:sz w:val="22"/>
          <w:szCs w:val="22"/>
        </w:rPr>
        <w:t xml:space="preserve">ta a natureza do investimento, </w:t>
      </w:r>
      <w:r w:rsidRPr="00C54AC6">
        <w:rPr>
          <w:rFonts w:ascii="Arial" w:hAnsi="Arial" w:cs="Arial"/>
          <w:i/>
          <w:iCs/>
          <w:sz w:val="22"/>
          <w:szCs w:val="22"/>
        </w:rPr>
        <w:t xml:space="preserve">entendo que os benefícios esperados </w:t>
      </w:r>
      <w:r w:rsidRPr="00A245A3">
        <w:rPr>
          <w:rFonts w:ascii="Arial" w:hAnsi="Arial" w:cs="Arial"/>
          <w:i/>
          <w:iCs/>
          <w:color w:val="FF0000"/>
          <w:sz w:val="22"/>
          <w:szCs w:val="22"/>
          <w:u w:val="dotted"/>
        </w:rPr>
        <w:t>(RELACIONAR BENEFÍCIOS)</w:t>
      </w:r>
      <w:r w:rsidRPr="00C54AC6">
        <w:rPr>
          <w:rFonts w:ascii="Arial" w:hAnsi="Arial" w:cs="Arial"/>
          <w:i/>
          <w:iCs/>
          <w:sz w:val="22"/>
          <w:szCs w:val="22"/>
        </w:rPr>
        <w:t xml:space="preserve"> não são mensuráveis financeiramente de forma viável, mas superam os custos necessários e correspondentes à operação de crédito pleiteada</w:t>
      </w:r>
      <w:r>
        <w:rPr>
          <w:rFonts w:ascii="Arial" w:hAnsi="Arial" w:cs="Arial"/>
          <w:i/>
          <w:iCs/>
          <w:sz w:val="22"/>
          <w:szCs w:val="22"/>
        </w:rPr>
        <w:t>.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>
        <w:rPr>
          <w:rFonts w:ascii="Arial" w:hAnsi="Arial" w:cs="Arial"/>
          <w:i/>
          <w:iCs/>
          <w:color w:val="FF0000"/>
          <w:sz w:val="22"/>
          <w:szCs w:val="22"/>
        </w:rPr>
        <w:t>FONTES ALTERNATIVAS DE FINANCIAMENTO (Para operações com garantia da União)</w:t>
      </w:r>
      <w:r w:rsidRPr="00A245A3">
        <w:rPr>
          <w:rFonts w:ascii="Arial" w:hAnsi="Arial" w:cs="Arial"/>
          <w:i/>
          <w:iCs/>
          <w:color w:val="FF0000"/>
          <w:sz w:val="22"/>
          <w:szCs w:val="22"/>
        </w:rPr>
        <w:t xml:space="preserve"> 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>
        <w:rPr>
          <w:rFonts w:ascii="Arial" w:hAnsi="Arial" w:cs="Arial"/>
          <w:i/>
          <w:iCs/>
          <w:color w:val="FF0000"/>
          <w:sz w:val="22"/>
          <w:szCs w:val="22"/>
        </w:rPr>
        <w:t xml:space="preserve">No caso de operações de crédito (interno ou externo) com garantia da União, é necessário que o Parecer traga uma seção que trate das fontes alternativas de financiamento, em cumprimento ao disposto na </w:t>
      </w:r>
      <w:r w:rsidRPr="0068495C">
        <w:rPr>
          <w:rFonts w:ascii="Arial" w:hAnsi="Arial" w:cs="Arial"/>
          <w:i/>
          <w:iCs/>
          <w:color w:val="FF0000"/>
          <w:sz w:val="22"/>
          <w:szCs w:val="22"/>
        </w:rPr>
        <w:t>Portaria MEFP nº 497/1990</w:t>
      </w:r>
      <w:r>
        <w:rPr>
          <w:rFonts w:ascii="Arial" w:hAnsi="Arial" w:cs="Arial"/>
          <w:i/>
          <w:iCs/>
          <w:color w:val="FF0000"/>
          <w:sz w:val="22"/>
          <w:szCs w:val="22"/>
        </w:rPr>
        <w:t xml:space="preserve">. Para tanto, </w:t>
      </w:r>
      <w:r w:rsidRPr="00A245A3">
        <w:rPr>
          <w:rFonts w:ascii="Arial" w:hAnsi="Arial" w:cs="Arial"/>
          <w:i/>
          <w:iCs/>
          <w:color w:val="FF0000"/>
          <w:sz w:val="22"/>
          <w:szCs w:val="22"/>
        </w:rPr>
        <w:t>deve-se apresentar a justificativa para a escolha do financiador, bem como se existem outros possíveis financiadores</w:t>
      </w:r>
      <w:r>
        <w:rPr>
          <w:rFonts w:ascii="Arial" w:hAnsi="Arial" w:cs="Arial"/>
          <w:i/>
          <w:iCs/>
          <w:color w:val="FF0000"/>
          <w:sz w:val="22"/>
          <w:szCs w:val="22"/>
        </w:rPr>
        <w:t xml:space="preserve"> para a operação</w:t>
      </w:r>
      <w:r w:rsidRPr="00A245A3">
        <w:rPr>
          <w:rFonts w:ascii="Arial" w:hAnsi="Arial" w:cs="Arial"/>
          <w:i/>
          <w:iCs/>
          <w:color w:val="FF0000"/>
          <w:sz w:val="22"/>
          <w:szCs w:val="22"/>
        </w:rPr>
        <w:t>.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</w:p>
    <w:p w:rsidR="00701E0D" w:rsidRPr="00A245A3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A245A3">
        <w:rPr>
          <w:rFonts w:ascii="Arial" w:hAnsi="Arial" w:cs="Arial"/>
          <w:i/>
          <w:iCs/>
          <w:color w:val="FF0000"/>
          <w:sz w:val="22"/>
          <w:szCs w:val="22"/>
        </w:rPr>
        <w:t>Observação</w:t>
      </w:r>
      <w:r>
        <w:rPr>
          <w:rFonts w:ascii="Arial" w:hAnsi="Arial" w:cs="Arial"/>
          <w:i/>
          <w:iCs/>
          <w:color w:val="FF0000"/>
          <w:sz w:val="22"/>
          <w:szCs w:val="22"/>
        </w:rPr>
        <w:t>: N</w:t>
      </w:r>
      <w:r w:rsidRPr="00A245A3">
        <w:rPr>
          <w:rFonts w:ascii="Arial" w:hAnsi="Arial" w:cs="Arial"/>
          <w:i/>
          <w:iCs/>
          <w:color w:val="FF0000"/>
          <w:sz w:val="22"/>
          <w:szCs w:val="22"/>
        </w:rPr>
        <w:t xml:space="preserve">o caso de operação de crédito </w:t>
      </w:r>
      <w:r w:rsidRPr="0071135A">
        <w:rPr>
          <w:rFonts w:ascii="Arial" w:hAnsi="Arial" w:cs="Arial"/>
          <w:b/>
          <w:i/>
          <w:iCs/>
          <w:color w:val="FF0000"/>
          <w:sz w:val="22"/>
          <w:szCs w:val="22"/>
        </w:rPr>
        <w:t>externo</w:t>
      </w:r>
      <w:r w:rsidRPr="00A245A3">
        <w:rPr>
          <w:rFonts w:ascii="Arial" w:hAnsi="Arial" w:cs="Arial"/>
          <w:i/>
          <w:iCs/>
          <w:color w:val="FF0000"/>
          <w:sz w:val="22"/>
          <w:szCs w:val="22"/>
        </w:rPr>
        <w:t>, o Parecer deverá conter, além dos elementos já discriminados, a análise financeira da operação e das fontes alternativas de financiamento do projeto.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color w:val="FF0000"/>
          <w:sz w:val="22"/>
          <w:szCs w:val="22"/>
        </w:rPr>
      </w:pPr>
      <w:r w:rsidRPr="00A245A3">
        <w:rPr>
          <w:rFonts w:ascii="Arial" w:hAnsi="Arial" w:cs="Arial"/>
          <w:i/>
          <w:iCs/>
          <w:color w:val="FF0000"/>
          <w:sz w:val="22"/>
          <w:szCs w:val="22"/>
        </w:rPr>
        <w:t xml:space="preserve">Para tanto, o cronograma de dispêndio deverá ser utilizado para o cálculo da Taxa Interna de Retorno ou metodologia equivalente que determine o custo efetivo da operação para fins da análise financeira da operação. 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A245A3">
        <w:rPr>
          <w:rFonts w:ascii="Arial" w:hAnsi="Arial" w:cs="Arial"/>
          <w:i/>
          <w:iCs/>
          <w:color w:val="FF0000"/>
          <w:sz w:val="22"/>
          <w:szCs w:val="22"/>
        </w:rPr>
        <w:t>Em relação às fontes alternativas, deve-se apresentar a justificativa para a escolha do financiador, bem como se existem outros possíveis financiadores.</w:t>
      </w:r>
      <w:r>
        <w:rPr>
          <w:rFonts w:ascii="Arial" w:hAnsi="Arial" w:cs="Arial"/>
          <w:i/>
          <w:iCs/>
          <w:color w:val="FF0000"/>
          <w:sz w:val="22"/>
          <w:szCs w:val="22"/>
        </w:rPr>
        <w:t xml:space="preserve"> </w:t>
      </w:r>
    </w:p>
    <w:p w:rsidR="00701E0D" w:rsidRPr="00A245A3" w:rsidRDefault="00701E0D" w:rsidP="00701E0D">
      <w:pPr>
        <w:spacing w:after="12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A245A3">
        <w:rPr>
          <w:rFonts w:ascii="Arial" w:hAnsi="Arial" w:cs="Arial"/>
          <w:b/>
          <w:bCs/>
          <w:i/>
          <w:iCs/>
          <w:sz w:val="22"/>
          <w:szCs w:val="22"/>
          <w:u w:val="single"/>
        </w:rPr>
        <w:lastRenderedPageBreak/>
        <w:t>INTERESSE ECONÔMICO E SOCIAL DA OPERAÇÃO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F72204">
        <w:rPr>
          <w:rFonts w:ascii="Arial" w:hAnsi="Arial" w:cs="Arial"/>
          <w:i/>
          <w:iCs/>
          <w:color w:val="FF0000"/>
          <w:sz w:val="22"/>
          <w:szCs w:val="22"/>
        </w:rPr>
        <w:t>Apresentar uma descrição resumida do programa/projeto e dos objetivos pretendidos pelo ente, bem como as justificativas para os investimentos propostos, ressaltando a importância da operação e o seu alcance econômico e social.</w:t>
      </w:r>
    </w:p>
    <w:p w:rsidR="00701E0D" w:rsidRDefault="00701E0D" w:rsidP="00701E0D">
      <w:pPr>
        <w:spacing w:after="12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701E0D" w:rsidRDefault="00701E0D" w:rsidP="00701E0D">
      <w:pPr>
        <w:spacing w:after="12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701E0D" w:rsidRPr="00A245A3" w:rsidRDefault="00701E0D" w:rsidP="00701E0D">
      <w:pPr>
        <w:spacing w:after="12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A245A3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CONCLUSÃO</w:t>
      </w:r>
    </w:p>
    <w:p w:rsidR="00701E0D" w:rsidRPr="00111C7E" w:rsidRDefault="00701E0D" w:rsidP="00701E0D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Conforme demonstrado, entendo que este Parecer </w:t>
      </w:r>
      <w:r w:rsidRPr="00152D6E">
        <w:rPr>
          <w:rFonts w:ascii="Arial" w:hAnsi="Arial" w:cs="Arial"/>
          <w:i/>
          <w:iCs/>
          <w:sz w:val="22"/>
          <w:szCs w:val="22"/>
        </w:rPr>
        <w:t xml:space="preserve">atesta o cumprimento do disposto no inciso I, do art. 21, da Resolução do Senado Federal nº 43/2001, </w:t>
      </w:r>
      <w:r>
        <w:rPr>
          <w:rFonts w:ascii="Arial" w:hAnsi="Arial" w:cs="Arial"/>
          <w:i/>
          <w:iCs/>
          <w:sz w:val="22"/>
          <w:szCs w:val="22"/>
        </w:rPr>
        <w:t xml:space="preserve">e do </w:t>
      </w:r>
      <w:r w:rsidRPr="00152D6E">
        <w:rPr>
          <w:rFonts w:ascii="Arial" w:hAnsi="Arial" w:cs="Arial"/>
          <w:i/>
          <w:iCs/>
          <w:sz w:val="22"/>
          <w:szCs w:val="22"/>
        </w:rPr>
        <w:t xml:space="preserve">§ 1º, </w:t>
      </w:r>
      <w:r>
        <w:rPr>
          <w:rFonts w:ascii="Arial" w:hAnsi="Arial" w:cs="Arial"/>
          <w:i/>
          <w:iCs/>
          <w:sz w:val="22"/>
          <w:szCs w:val="22"/>
        </w:rPr>
        <w:t xml:space="preserve">do </w:t>
      </w:r>
      <w:r w:rsidRPr="00152D6E">
        <w:rPr>
          <w:rFonts w:ascii="Arial" w:hAnsi="Arial" w:cs="Arial"/>
          <w:i/>
          <w:iCs/>
          <w:sz w:val="22"/>
          <w:szCs w:val="22"/>
        </w:rPr>
        <w:t>art. 32, da Lei Complementar 101/2000, demonstrando a relação custo-benefício e o interesse econômi</w:t>
      </w:r>
      <w:bookmarkStart w:id="3" w:name="_GoBack"/>
      <w:bookmarkEnd w:id="3"/>
      <w:r w:rsidRPr="00152D6E">
        <w:rPr>
          <w:rFonts w:ascii="Arial" w:hAnsi="Arial" w:cs="Arial"/>
          <w:i/>
          <w:iCs/>
          <w:sz w:val="22"/>
          <w:szCs w:val="22"/>
        </w:rPr>
        <w:t>co e social da operação.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701E0D" w:rsidRDefault="00701E0D" w:rsidP="00701E0D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AD7A0B">
        <w:rPr>
          <w:rFonts w:ascii="Arial" w:hAnsi="Arial" w:cs="Arial"/>
          <w:sz w:val="22"/>
          <w:szCs w:val="22"/>
        </w:rPr>
        <w:t>Local e data</w:t>
      </w:r>
      <w:r>
        <w:rPr>
          <w:rFonts w:ascii="Arial" w:hAnsi="Arial" w:cs="Arial"/>
          <w:sz w:val="22"/>
          <w:szCs w:val="22"/>
        </w:rPr>
        <w:t>.</w:t>
      </w:r>
    </w:p>
    <w:p w:rsidR="00701E0D" w:rsidRDefault="00701E0D" w:rsidP="00701E0D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701E0D" w:rsidRDefault="00701E0D" w:rsidP="00701E0D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701E0D" w:rsidRPr="00CD426D" w:rsidRDefault="00701E0D" w:rsidP="00701E0D">
      <w:pPr>
        <w:jc w:val="center"/>
        <w:rPr>
          <w:rFonts w:ascii="Arial" w:hAnsi="Arial" w:cs="Arial"/>
          <w:sz w:val="22"/>
          <w:szCs w:val="22"/>
        </w:rPr>
      </w:pPr>
      <w:r w:rsidRPr="00CD426D">
        <w:rPr>
          <w:rFonts w:ascii="Arial" w:hAnsi="Arial" w:cs="Arial"/>
          <w:sz w:val="22"/>
          <w:szCs w:val="22"/>
        </w:rPr>
        <w:t>_______________________________________</w:t>
      </w:r>
    </w:p>
    <w:p w:rsidR="00701E0D" w:rsidRPr="00CD426D" w:rsidRDefault="00701E0D" w:rsidP="00701E0D">
      <w:pPr>
        <w:jc w:val="center"/>
        <w:rPr>
          <w:rFonts w:ascii="Arial" w:hAnsi="Arial" w:cs="Arial"/>
          <w:i/>
          <w:sz w:val="22"/>
          <w:szCs w:val="22"/>
        </w:rPr>
      </w:pPr>
      <w:r w:rsidRPr="00CD426D">
        <w:rPr>
          <w:rFonts w:ascii="Arial" w:hAnsi="Arial" w:cs="Arial"/>
          <w:i/>
          <w:sz w:val="22"/>
          <w:szCs w:val="22"/>
        </w:rPr>
        <w:t xml:space="preserve">Assinatura do Representante do Órgão </w:t>
      </w:r>
      <w:r>
        <w:rPr>
          <w:rFonts w:ascii="Arial" w:hAnsi="Arial" w:cs="Arial"/>
          <w:i/>
          <w:sz w:val="22"/>
          <w:szCs w:val="22"/>
        </w:rPr>
        <w:t>Técnico</w:t>
      </w:r>
    </w:p>
    <w:p w:rsidR="00701E0D" w:rsidRPr="00CD426D" w:rsidRDefault="00701E0D" w:rsidP="00701E0D">
      <w:pPr>
        <w:jc w:val="center"/>
        <w:rPr>
          <w:rFonts w:ascii="Arial" w:hAnsi="Arial" w:cs="Arial"/>
          <w:i/>
          <w:sz w:val="22"/>
          <w:szCs w:val="22"/>
        </w:rPr>
      </w:pPr>
      <w:r w:rsidRPr="00CD426D">
        <w:rPr>
          <w:rFonts w:ascii="Arial" w:hAnsi="Arial" w:cs="Arial"/>
          <w:i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n</w:t>
      </w:r>
      <w:r w:rsidRPr="00CD426D">
        <w:rPr>
          <w:rFonts w:ascii="Arial" w:hAnsi="Arial" w:cs="Arial"/>
          <w:i/>
          <w:sz w:val="22"/>
          <w:szCs w:val="22"/>
        </w:rPr>
        <w:t xml:space="preserve">ome e </w:t>
      </w:r>
      <w:r>
        <w:rPr>
          <w:rFonts w:ascii="Arial" w:hAnsi="Arial" w:cs="Arial"/>
          <w:i/>
          <w:sz w:val="22"/>
          <w:szCs w:val="22"/>
        </w:rPr>
        <w:t>c</w:t>
      </w:r>
      <w:r w:rsidRPr="00CD426D">
        <w:rPr>
          <w:rFonts w:ascii="Arial" w:hAnsi="Arial" w:cs="Arial"/>
          <w:i/>
          <w:sz w:val="22"/>
          <w:szCs w:val="22"/>
        </w:rPr>
        <w:t>argo)</w:t>
      </w:r>
    </w:p>
    <w:p w:rsidR="00701E0D" w:rsidRPr="00CD426D" w:rsidRDefault="00701E0D" w:rsidP="00701E0D">
      <w:pPr>
        <w:jc w:val="both"/>
        <w:rPr>
          <w:rFonts w:ascii="Arial" w:hAnsi="Arial" w:cs="Arial"/>
          <w:i/>
          <w:sz w:val="22"/>
          <w:szCs w:val="22"/>
        </w:rPr>
      </w:pPr>
    </w:p>
    <w:p w:rsidR="00701E0D" w:rsidRDefault="00701E0D" w:rsidP="00701E0D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De acordo</w:t>
      </w:r>
    </w:p>
    <w:p w:rsidR="00701E0D" w:rsidRDefault="00701E0D" w:rsidP="00701E0D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:rsidR="00701E0D" w:rsidRPr="00CD426D" w:rsidRDefault="00701E0D" w:rsidP="00701E0D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:rsidR="00701E0D" w:rsidRPr="00CD426D" w:rsidRDefault="00701E0D" w:rsidP="00701E0D">
      <w:pPr>
        <w:jc w:val="center"/>
        <w:rPr>
          <w:rFonts w:ascii="Arial" w:hAnsi="Arial" w:cs="Arial"/>
          <w:i/>
          <w:sz w:val="22"/>
          <w:szCs w:val="22"/>
        </w:rPr>
      </w:pPr>
      <w:r w:rsidRPr="00CD426D">
        <w:rPr>
          <w:rFonts w:ascii="Arial" w:hAnsi="Arial" w:cs="Arial"/>
          <w:i/>
          <w:sz w:val="22"/>
          <w:szCs w:val="22"/>
        </w:rPr>
        <w:t>__________________________________</w:t>
      </w:r>
    </w:p>
    <w:p w:rsidR="00701E0D" w:rsidRPr="00CD426D" w:rsidRDefault="00701E0D" w:rsidP="00701E0D">
      <w:pPr>
        <w:jc w:val="center"/>
        <w:rPr>
          <w:rFonts w:ascii="Arial" w:hAnsi="Arial" w:cs="Arial"/>
          <w:i/>
          <w:sz w:val="22"/>
          <w:szCs w:val="22"/>
        </w:rPr>
      </w:pPr>
      <w:r w:rsidRPr="00CD426D">
        <w:rPr>
          <w:rFonts w:ascii="Arial" w:hAnsi="Arial" w:cs="Arial"/>
          <w:i/>
          <w:sz w:val="22"/>
          <w:szCs w:val="22"/>
        </w:rPr>
        <w:t>Assinatura do Chefe do Poder Executivo</w:t>
      </w:r>
    </w:p>
    <w:p w:rsidR="00701E0D" w:rsidRPr="00CD426D" w:rsidRDefault="00701E0D" w:rsidP="00701E0D">
      <w:pPr>
        <w:jc w:val="center"/>
        <w:rPr>
          <w:rFonts w:ascii="Arial" w:hAnsi="Arial" w:cs="Arial"/>
          <w:i/>
          <w:sz w:val="22"/>
          <w:szCs w:val="22"/>
        </w:rPr>
      </w:pPr>
      <w:r w:rsidRPr="00CD426D">
        <w:rPr>
          <w:rFonts w:ascii="Arial" w:hAnsi="Arial" w:cs="Arial"/>
          <w:i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n</w:t>
      </w:r>
      <w:r w:rsidRPr="00CD426D">
        <w:rPr>
          <w:rFonts w:ascii="Arial" w:hAnsi="Arial" w:cs="Arial"/>
          <w:i/>
          <w:sz w:val="22"/>
          <w:szCs w:val="22"/>
        </w:rPr>
        <w:t xml:space="preserve">ome e </w:t>
      </w:r>
      <w:r>
        <w:rPr>
          <w:rFonts w:ascii="Arial" w:hAnsi="Arial" w:cs="Arial"/>
          <w:i/>
          <w:sz w:val="22"/>
          <w:szCs w:val="22"/>
        </w:rPr>
        <w:t>c</w:t>
      </w:r>
      <w:r w:rsidRPr="00CD426D">
        <w:rPr>
          <w:rFonts w:ascii="Arial" w:hAnsi="Arial" w:cs="Arial"/>
          <w:i/>
          <w:sz w:val="22"/>
          <w:szCs w:val="22"/>
        </w:rPr>
        <w:t>argo)</w:t>
      </w:r>
    </w:p>
    <w:p w:rsidR="00523F0B" w:rsidRDefault="00523F0B"/>
    <w:sectPr w:rsidR="00523F0B" w:rsidSect="00687CC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0D"/>
    <w:rsid w:val="00523F0B"/>
    <w:rsid w:val="0070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DD193-F330-4535-8B2C-2BCEB513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1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701E0D"/>
    <w:pPr>
      <w:jc w:val="both"/>
    </w:pPr>
    <w:rPr>
      <w:rFonts w:ascii="Arial" w:hAnsi="Arial" w:cs="Arial"/>
      <w:sz w:val="28"/>
    </w:rPr>
  </w:style>
  <w:style w:type="character" w:customStyle="1" w:styleId="CorpodetextoChar">
    <w:name w:val="Corpo de texto Char"/>
    <w:basedOn w:val="Fontepargpadro"/>
    <w:link w:val="Corpodetexto"/>
    <w:rsid w:val="00701E0D"/>
    <w:rPr>
      <w:rFonts w:ascii="Arial" w:eastAsia="Times New Roman" w:hAnsi="Arial" w:cs="Arial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10387A-EA02-497B-8D41-3B1562EF73B0}"/>
</file>

<file path=customXml/itemProps2.xml><?xml version="1.0" encoding="utf-8"?>
<ds:datastoreItem xmlns:ds="http://schemas.openxmlformats.org/officeDocument/2006/customXml" ds:itemID="{3F460A3B-212F-471C-856B-46F1A13D8DA7}"/>
</file>

<file path=customXml/itemProps3.xml><?xml version="1.0" encoding="utf-8"?>
<ds:datastoreItem xmlns:ds="http://schemas.openxmlformats.org/officeDocument/2006/customXml" ds:itemID="{7DA88BB0-0119-487C-8318-F267B7DA65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Galete Caetano de Paula</dc:creator>
  <cp:keywords/>
  <dc:description/>
  <cp:lastModifiedBy>Bruno Galete Caetano de Paula</cp:lastModifiedBy>
  <cp:revision>1</cp:revision>
  <dcterms:created xsi:type="dcterms:W3CDTF">2019-06-10T18:23:00Z</dcterms:created>
  <dcterms:modified xsi:type="dcterms:W3CDTF">2019-06-10T18:24:00Z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